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4EF03B" w14:textId="52D1F869" w:rsidR="004C4C65" w:rsidRDefault="004C4C65" w:rsidP="004C4C65"/>
    <w:p w14:paraId="7FE5FBC0" w14:textId="55B2762D" w:rsidR="006366A9" w:rsidRDefault="00B10303" w:rsidP="004C4C65">
      <w:r>
        <w:t>The preliminary data from our experiments in the lab and at Stony Ford indicates two things. First, it indicates that exposure to the natural environment drastically increases mean infection duration, likely because of a shift in the host immune phenotype towards a Th1 response</w:t>
      </w:r>
      <w:r w:rsidR="006366A9">
        <w:t xml:space="preserve"> (and away from an </w:t>
      </w:r>
      <w:proofErr w:type="gramStart"/>
      <w:r w:rsidR="006366A9">
        <w:t>expulsion-promoting</w:t>
      </w:r>
      <w:proofErr w:type="gramEnd"/>
      <w:r w:rsidR="006366A9">
        <w:t xml:space="preserve"> Th2 response)</w:t>
      </w:r>
      <w:r>
        <w:t xml:space="preserve">. Second, it indicates that </w:t>
      </w:r>
      <w:r w:rsidRPr="006366A9">
        <w:rPr>
          <w:b/>
          <w:bCs/>
        </w:rPr>
        <w:t xml:space="preserve">exposure to the natural environment drastically </w:t>
      </w:r>
      <w:r w:rsidR="006366A9" w:rsidRPr="006366A9">
        <w:rPr>
          <w:b/>
          <w:bCs/>
        </w:rPr>
        <w:t xml:space="preserve">increases the </w:t>
      </w:r>
      <w:r w:rsidR="006366A9" w:rsidRPr="006366A9">
        <w:rPr>
          <w:b/>
          <w:bCs/>
          <w:i/>
          <w:iCs/>
        </w:rPr>
        <w:t>variability</w:t>
      </w:r>
      <w:r w:rsidR="006366A9" w:rsidRPr="006366A9">
        <w:rPr>
          <w:b/>
          <w:bCs/>
        </w:rPr>
        <w:t xml:space="preserve"> in infection duration</w:t>
      </w:r>
      <w:r w:rsidR="006366A9">
        <w:t xml:space="preserve">. Variation in infection duration is the norm, rather than the exception, in </w:t>
      </w:r>
      <w:proofErr w:type="spellStart"/>
      <w:r w:rsidR="006366A9">
        <w:t>immunoparasitology</w:t>
      </w:r>
      <w:proofErr w:type="spellEnd"/>
      <w:r w:rsidR="006366A9">
        <w:t xml:space="preserve">, although few studies attempt to explain that variation. A relevant question, then, is what is the relationship between infection duration and “naturalness”/microbial exposure/environment? Dynamical systems theory would suggest two alternatives (Fig. 1). </w:t>
      </w:r>
    </w:p>
    <w:p w14:paraId="3A6C8E9D" w14:textId="53B9A0EB" w:rsidR="00707F24" w:rsidRDefault="00707F24" w:rsidP="004C4C65">
      <w:r>
        <w:rPr>
          <w:noProof/>
        </w:rPr>
        <w:drawing>
          <wp:inline distT="0" distB="0" distL="0" distR="0" wp14:anchorId="135F2CB8" wp14:editId="284BAD41">
            <wp:extent cx="5943600" cy="22288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28127FAA" w14:textId="77777777" w:rsidR="006366A9" w:rsidRDefault="006366A9" w:rsidP="004C4C65"/>
    <w:p w14:paraId="5C33C2AA" w14:textId="6780F04F" w:rsidR="00B10303" w:rsidRDefault="006366A9" w:rsidP="004C4C65">
      <w:r>
        <w:t xml:space="preserve">In </w:t>
      </w:r>
      <w:r w:rsidR="00707F24">
        <w:t>Panel A</w:t>
      </w:r>
      <w:r>
        <w:t xml:space="preserve">, duration increases smoothly with </w:t>
      </w:r>
      <w:r w:rsidR="00707F24">
        <w:t xml:space="preserve">the environment. In this case, you would expect that variation in the initial state of the system would have only small effects on the ultimate outcome of infection. The implication is that you would not expect to see variation among individuals in infection duration, as we observed in lab infections with </w:t>
      </w:r>
      <w:r w:rsidR="00707F24">
        <w:rPr>
          <w:i/>
          <w:iCs/>
        </w:rPr>
        <w:t xml:space="preserve">T. </w:t>
      </w:r>
      <w:proofErr w:type="spellStart"/>
      <w:r w:rsidR="00707F24">
        <w:rPr>
          <w:i/>
          <w:iCs/>
        </w:rPr>
        <w:t>muris</w:t>
      </w:r>
      <w:proofErr w:type="spellEnd"/>
      <w:r w:rsidR="00707F24">
        <w:rPr>
          <w:i/>
          <w:iCs/>
        </w:rPr>
        <w:t xml:space="preserve">. </w:t>
      </w:r>
      <w:r w:rsidR="00707F24">
        <w:t xml:space="preserve">In Panel B, we see tipping point behavior – at environmental extremes, only acute or only chronic infections will be observed and variation in the initial state of the system among will have only small effects. However, for environments between the two blue arrows, the initial state of the system can have a very large impact on the observed duration, and you would expect that there will be variation among individuals in the duration of infection. In particular, some individuals would clear the infection quickly, whereas others would become chronically infected, as we observed in field experiments with </w:t>
      </w:r>
      <w:r w:rsidR="00707F24">
        <w:rPr>
          <w:i/>
          <w:iCs/>
        </w:rPr>
        <w:t xml:space="preserve">T. </w:t>
      </w:r>
      <w:proofErr w:type="spellStart"/>
      <w:r w:rsidR="00707F24">
        <w:rPr>
          <w:i/>
          <w:iCs/>
        </w:rPr>
        <w:t>muris</w:t>
      </w:r>
      <w:proofErr w:type="spellEnd"/>
      <w:r w:rsidR="00707F24">
        <w:t xml:space="preserve">. </w:t>
      </w:r>
    </w:p>
    <w:p w14:paraId="588FE5DB" w14:textId="77777777" w:rsidR="00024C41" w:rsidRDefault="00024C41" w:rsidP="004C4C65"/>
    <w:p w14:paraId="17318608" w14:textId="1ACE2BB9" w:rsidR="00707F24" w:rsidRDefault="00707F24" w:rsidP="004C4C65">
      <w:r>
        <w:t xml:space="preserve">Dynamical systems theory tells us that the nature of the immune-parasite interaction should determine whether panel A or panel B is a better characterization of the system. In particular, smooth transitions would be expected if </w:t>
      </w:r>
      <w:r>
        <w:rPr>
          <w:i/>
          <w:iCs/>
        </w:rPr>
        <w:t xml:space="preserve">negative feedbacks </w:t>
      </w:r>
      <w:r>
        <w:t>dominate the dynamics</w:t>
      </w:r>
      <w:r>
        <w:rPr>
          <w:i/>
          <w:iCs/>
        </w:rPr>
        <w:t xml:space="preserve">. </w:t>
      </w:r>
      <w:r>
        <w:t xml:space="preserve">Negative feedbacks are of course fundamental to the immune-parasite interaction, as increasing parasite biomass stimulates a stronger immune response that expels parasites and suppresses biomass growth. Tipping point behavior, on the other hand, requires strong </w:t>
      </w:r>
      <w:r>
        <w:rPr>
          <w:i/>
          <w:iCs/>
        </w:rPr>
        <w:t>positive feedbacks</w:t>
      </w:r>
      <w:r>
        <w:t xml:space="preserve">. While often overlooked by ecologically inspired studies of the immune-parasite interaction, </w:t>
      </w:r>
      <w:r w:rsidR="001C256B">
        <w:t xml:space="preserve">positive feedbacks are fundamental to the Th1-Th2 immune interaction: Th1 cells secrete cytokines that drive the polarization of naïve Th0 cells towards the Th1 phenotype, as do Th2 cells; Th1 </w:t>
      </w:r>
      <w:r w:rsidR="001C256B">
        <w:lastRenderedPageBreak/>
        <w:t>cytokines inhibit Th2 polarization, and vice versa. Allee effects are an example of tipping point behavior.</w:t>
      </w:r>
    </w:p>
    <w:p w14:paraId="727029F3" w14:textId="540655FF" w:rsidR="00BD087F" w:rsidRDefault="00BD087F" w:rsidP="004C4C65"/>
    <w:p w14:paraId="121E0842" w14:textId="0D6DEA5D" w:rsidR="00BD087F" w:rsidRDefault="00BD087F" w:rsidP="004C4C65">
      <w:r w:rsidRPr="00BD087F">
        <w:rPr>
          <w:b/>
          <w:bCs/>
        </w:rPr>
        <w:t>Variation in dose is an excellent experimental probe of the immune-parasite interaction</w:t>
      </w:r>
      <w:r>
        <w:t>. If relationship between environment and duration is better captured by Fig. 1A, then variation in dose should have a relatively small effect on observed infection duration. If, on the other hand, the relationship is better captured by Fig. 1B, then variation in dose should have a large effect as it will help to “tip” the dynamical outcomes between acute and chronic infections.</w:t>
      </w:r>
    </w:p>
    <w:p w14:paraId="6B85B594" w14:textId="0393D7D2" w:rsidR="001C256B" w:rsidRDefault="001C256B" w:rsidP="004C4C65"/>
    <w:p w14:paraId="6B608309" w14:textId="1EC0266A" w:rsidR="004C4C65" w:rsidRDefault="00BD087F" w:rsidP="004C4C65">
      <w:r>
        <w:t>To explore these possibilities, w</w:t>
      </w:r>
      <w:r w:rsidR="001C256B">
        <w:t>e</w:t>
      </w:r>
      <w:r w:rsidR="004C4C65">
        <w:t xml:space="preserve"> have derived and analyzed a model for the dynamical interaction between the growth in parasite biomass </w:t>
      </w:r>
      <m:oMath>
        <m:r>
          <w:rPr>
            <w:rFonts w:ascii="Cambria Math" w:hAnsi="Cambria Math"/>
          </w:rPr>
          <m:t>P(t)</m:t>
        </m:r>
      </m:oMath>
      <w:r w:rsidR="004C4C65">
        <w:rPr>
          <w:rFonts w:eastAsiaTheme="minorEastAsia"/>
        </w:rPr>
        <w:t xml:space="preserve"> and Th1 and Th2 cells,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oMath>
      <w:r w:rsidR="004C4C6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oMath>
      <w:r w:rsidR="004C4C65">
        <w:rPr>
          <w:rFonts w:eastAsiaTheme="minorEastAsia"/>
        </w:rPr>
        <w:t xml:space="preserve">. We use this model </w:t>
      </w:r>
      <w:r w:rsidR="004C4C65">
        <w:t>to</w:t>
      </w:r>
      <w:r w:rsidR="001C05ED">
        <w:t xml:space="preserve"> (1)</w:t>
      </w:r>
      <w:r w:rsidR="004C4C65">
        <w:t xml:space="preserve"> demonstrate</w:t>
      </w:r>
      <w:r w:rsidR="001C05ED">
        <w:t xml:space="preserve"> in general</w:t>
      </w:r>
      <w:r w:rsidR="004C4C65">
        <w:t xml:space="preserve"> </w:t>
      </w:r>
      <w:r w:rsidR="001C05ED">
        <w:t>that</w:t>
      </w:r>
      <w:r w:rsidR="004C4C65">
        <w:t xml:space="preserve"> the feedbacks inherent to the immune response can give rise to Allee effects</w:t>
      </w:r>
      <w:r w:rsidR="001C05ED">
        <w:t xml:space="preserve">; (2) </w:t>
      </w:r>
      <w:r w:rsidR="004C4C65">
        <w:t xml:space="preserve">generate specific predictions </w:t>
      </w:r>
      <w:r w:rsidR="001C05ED">
        <w:t xml:space="preserve">for the </w:t>
      </w:r>
      <w:r w:rsidR="001C05ED">
        <w:rPr>
          <w:i/>
          <w:iCs/>
        </w:rPr>
        <w:t>M. musculus</w:t>
      </w:r>
      <w:r w:rsidR="001C05ED">
        <w:t>-</w:t>
      </w:r>
      <w:r w:rsidR="001C05ED">
        <w:rPr>
          <w:i/>
          <w:iCs/>
        </w:rPr>
        <w:t xml:space="preserve">T. </w:t>
      </w:r>
      <w:proofErr w:type="spellStart"/>
      <w:r w:rsidR="001C05ED">
        <w:rPr>
          <w:i/>
          <w:iCs/>
        </w:rPr>
        <w:t>muris</w:t>
      </w:r>
      <w:proofErr w:type="spellEnd"/>
      <w:r w:rsidR="001C05ED">
        <w:t xml:space="preserve"> system; and (3) identify key experimental measurements necessary to validate the model. The model is</w:t>
      </w:r>
    </w:p>
    <w:p w14:paraId="552FA64B" w14:textId="5623B3FD" w:rsidR="001C05ED" w:rsidRPr="001C05ED" w:rsidRDefault="004F6DFD" w:rsidP="004C4C65">
      <w:pPr>
        <w:rPr>
          <w:rFonts w:eastAsiaTheme="minorEastAsia"/>
        </w:rPr>
      </w:pPr>
      <m:oMathPara>
        <m:oMath>
          <m:f>
            <m:fPr>
              <m:ctrlPr>
                <w:rPr>
                  <w:rFonts w:ascii="Cambria Math" w:hAnsi="Cambria Math"/>
                  <w:i/>
                </w:rPr>
              </m:ctrlPr>
            </m:fPr>
            <m:num>
              <m:r>
                <w:rPr>
                  <w:rFonts w:ascii="Cambria Math" w:hAnsi="Cambria Math"/>
                </w:rPr>
                <m:t>dP</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P</m:t>
          </m:r>
          <m:d>
            <m:dPr>
              <m:ctrlPr>
                <w:rPr>
                  <w:rFonts w:ascii="Cambria Math" w:hAnsi="Cambria Math"/>
                  <w:i/>
                </w:rPr>
              </m:ctrlPr>
            </m:dPr>
            <m:e>
              <m:r>
                <w:rPr>
                  <w:rFonts w:ascii="Cambria Math" w:hAnsi="Cambria Math"/>
                </w:rPr>
                <m:t>t</m:t>
              </m:r>
            </m:e>
          </m:d>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r>
            <w:rPr>
              <w:rFonts w:ascii="Cambria Math" w:hAnsi="Cambria Math"/>
            </w:rPr>
            <m:t>-aP</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T</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oMath>
      </m:oMathPara>
    </w:p>
    <w:p w14:paraId="32BCDE02" w14:textId="5CC40036" w:rsidR="001C05ED" w:rsidRPr="001C05ED" w:rsidRDefault="004F6DFD" w:rsidP="004C4C65">
      <w:pPr>
        <w:rPr>
          <w:rFonts w:eastAsiaTheme="minorEastAsia"/>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s</m:t>
                      </m:r>
                    </m:sub>
                  </m:sSub>
                </m:sup>
              </m:sSup>
            </m:num>
            <m:den>
              <m:sSubSup>
                <m:sSubSupPr>
                  <m:ctrlPr>
                    <w:rPr>
                      <w:rFonts w:ascii="Cambria Math" w:hAnsi="Cambria Math"/>
                      <w:i/>
                    </w:rPr>
                  </m:ctrlPr>
                </m:sSubSupPr>
                <m:e>
                  <m:r>
                    <w:rPr>
                      <w:rFonts w:ascii="Cambria Math" w:hAnsi="Cambria Math"/>
                    </w:rPr>
                    <m:t>S</m:t>
                  </m:r>
                </m:e>
                <m:sub>
                  <m:r>
                    <w:rPr>
                      <w:rFonts w:ascii="Cambria Math" w:hAnsi="Cambria Math"/>
                    </w:rPr>
                    <m:t>i</m:t>
                  </m:r>
                </m:sub>
                <m:sup>
                  <m:sSub>
                    <m:sSubPr>
                      <m:ctrlPr>
                        <w:rPr>
                          <w:rFonts w:ascii="Cambria Math" w:hAnsi="Cambria Math"/>
                          <w:i/>
                        </w:rPr>
                      </m:ctrlPr>
                    </m:sSubPr>
                    <m:e>
                      <m:r>
                        <w:rPr>
                          <w:rFonts w:ascii="Cambria Math" w:hAnsi="Cambria Math"/>
                        </w:rPr>
                        <m:t>h</m:t>
                      </m:r>
                    </m:e>
                    <m:sub>
                      <m:r>
                        <w:rPr>
                          <w:rFonts w:ascii="Cambria Math" w:hAnsi="Cambria Math"/>
                        </w:rPr>
                        <m:t>s</m:t>
                      </m:r>
                    </m:sub>
                  </m:sSub>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s</m:t>
                      </m:r>
                    </m:sub>
                  </m:sSub>
                </m:sup>
              </m:sSup>
            </m:den>
          </m:f>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rPr>
                    <m:t>ij</m:t>
                  </m:r>
                </m:sub>
                <m:sup>
                  <m:sSub>
                    <m:sSubPr>
                      <m:ctrlPr>
                        <w:rPr>
                          <w:rFonts w:ascii="Cambria Math" w:hAnsi="Cambria Math"/>
                          <w:i/>
                        </w:rPr>
                      </m:ctrlPr>
                    </m:sSubPr>
                    <m:e>
                      <m:r>
                        <w:rPr>
                          <w:rFonts w:ascii="Cambria Math" w:hAnsi="Cambria Math"/>
                        </w:rPr>
                        <m:t>h</m:t>
                      </m:r>
                    </m:e>
                    <m:sub>
                      <m:r>
                        <w:rPr>
                          <w:rFonts w:ascii="Cambria Math" w:hAnsi="Cambria Math"/>
                        </w:rPr>
                        <m:t>c</m:t>
                      </m:r>
                    </m:sub>
                  </m:sSub>
                </m:sup>
              </m:sSubSup>
            </m:num>
            <m:den>
              <m:sSubSup>
                <m:sSubSupPr>
                  <m:ctrlPr>
                    <w:rPr>
                      <w:rFonts w:ascii="Cambria Math" w:hAnsi="Cambria Math"/>
                      <w:i/>
                    </w:rPr>
                  </m:ctrlPr>
                </m:sSubSupPr>
                <m:e>
                  <m:r>
                    <w:rPr>
                      <w:rFonts w:ascii="Cambria Math" w:hAnsi="Cambria Math"/>
                    </w:rPr>
                    <m:t>I</m:t>
                  </m:r>
                </m:e>
                <m:sub>
                  <m:r>
                    <w:rPr>
                      <w:rFonts w:ascii="Cambria Math" w:hAnsi="Cambria Math"/>
                    </w:rPr>
                    <m:t>ij</m:t>
                  </m:r>
                </m:sub>
                <m:sup>
                  <m:sSub>
                    <m:sSubPr>
                      <m:ctrlPr>
                        <w:rPr>
                          <w:rFonts w:ascii="Cambria Math" w:hAnsi="Cambria Math"/>
                          <w:i/>
                        </w:rPr>
                      </m:ctrlPr>
                    </m:sSubPr>
                    <m:e>
                      <m:r>
                        <w:rPr>
                          <w:rFonts w:ascii="Cambria Math" w:hAnsi="Cambria Math"/>
                        </w:rPr>
                        <m:t>h</m:t>
                      </m:r>
                    </m:e>
                    <m:sub>
                      <m:r>
                        <w:rPr>
                          <w:rFonts w:ascii="Cambria Math" w:hAnsi="Cambria Math"/>
                        </w:rPr>
                        <m:t>c</m:t>
                      </m:r>
                    </m:sub>
                  </m:sSub>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c</m:t>
                      </m:r>
                    </m:sub>
                  </m:sSub>
                </m:sup>
              </m:sSup>
            </m:den>
          </m:f>
          <m:r>
            <w:rPr>
              <w:rFonts w:ascii="Cambria Math" w:hAnsi="Cambria Math"/>
            </w:rPr>
            <m:t>-m</m:t>
          </m:r>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eastAsiaTheme="minorEastAsia" w:hAnsi="Cambria Math"/>
            </w:rPr>
            <m:t>.</m:t>
          </m:r>
        </m:oMath>
      </m:oMathPara>
    </w:p>
    <w:p w14:paraId="3C21E5DC" w14:textId="047B4D89" w:rsidR="001C05ED" w:rsidRDefault="001C05ED" w:rsidP="004C4C65">
      <w:pPr>
        <w:rPr>
          <w:rFonts w:eastAsiaTheme="minorEastAsia"/>
        </w:rPr>
      </w:pPr>
      <w:r>
        <w:rPr>
          <w:rFonts w:eastAsiaTheme="minorEastAsia"/>
        </w:rPr>
        <w:t xml:space="preserve">We assume logistic growth in parasite biomass, since individual parasite growth slows as the worms reach adulthood. Future extensions of this model </w:t>
      </w:r>
      <w:r w:rsidR="00841617">
        <w:rPr>
          <w:rFonts w:eastAsiaTheme="minorEastAsia"/>
        </w:rPr>
        <w:t>may</w:t>
      </w:r>
      <w:r>
        <w:rPr>
          <w:rFonts w:eastAsiaTheme="minorEastAsia"/>
        </w:rPr>
        <w:t xml:space="preserve"> separate out parasite numbers from parasite biomass, since the immune response can affect parasite both by expelling individual parasites and by slowing their growth [refs] and empirical work has demonstrated density-dependent growth in biomass. The biomass growth rate is negatively impacted only by the Th2 response,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oMath>
      <w:r>
        <w:rPr>
          <w:rFonts w:eastAsiaTheme="minorEastAsia"/>
        </w:rPr>
        <w:t xml:space="preserve">, with the parameter </w:t>
      </w:r>
      <m:oMath>
        <m:r>
          <w:rPr>
            <w:rFonts w:ascii="Cambria Math" w:eastAsiaTheme="minorEastAsia" w:hAnsi="Cambria Math"/>
          </w:rPr>
          <m:t>a</m:t>
        </m:r>
      </m:oMath>
      <w:r>
        <w:rPr>
          <w:rFonts w:eastAsiaTheme="minorEastAsia"/>
        </w:rPr>
        <w:t xml:space="preserve"> capturing both the recruitment of immune effectors </w:t>
      </w:r>
      <w:r w:rsidR="00415533">
        <w:rPr>
          <w:rFonts w:eastAsiaTheme="minorEastAsia"/>
        </w:rPr>
        <w:t xml:space="preserve">(e.g., mucins) </w:t>
      </w:r>
      <w:r>
        <w:rPr>
          <w:rFonts w:eastAsiaTheme="minorEastAsia"/>
        </w:rPr>
        <w:t>by Th2 cells</w:t>
      </w:r>
      <w:r w:rsidR="00415533">
        <w:rPr>
          <w:rFonts w:eastAsiaTheme="minorEastAsia"/>
        </w:rPr>
        <w:t xml:space="preserve"> and the killing and stunting capabilities of those cells. </w:t>
      </w:r>
      <w:r w:rsidR="00841617">
        <w:rPr>
          <w:rFonts w:eastAsiaTheme="minorEastAsia"/>
          <w:b/>
          <w:bCs/>
        </w:rPr>
        <w:t>Immune killing</w:t>
      </w:r>
      <w:r w:rsidR="00841617" w:rsidRPr="00841617">
        <w:rPr>
          <w:rFonts w:eastAsiaTheme="minorEastAsia"/>
          <w:b/>
          <w:bCs/>
        </w:rPr>
        <w:t xml:space="preserve"> </w:t>
      </w:r>
      <w:r w:rsidR="00841617">
        <w:rPr>
          <w:rFonts w:eastAsiaTheme="minorEastAsia"/>
          <w:b/>
          <w:bCs/>
        </w:rPr>
        <w:t xml:space="preserve">is part of </w:t>
      </w:r>
      <w:r w:rsidR="00172AF6">
        <w:rPr>
          <w:rFonts w:eastAsiaTheme="minorEastAsia"/>
          <w:b/>
          <w:bCs/>
        </w:rPr>
        <w:t>a</w:t>
      </w:r>
      <w:r w:rsidR="00841617">
        <w:rPr>
          <w:rFonts w:eastAsiaTheme="minorEastAsia"/>
          <w:b/>
          <w:bCs/>
        </w:rPr>
        <w:t xml:space="preserve"> negative feedback loop</w:t>
      </w:r>
      <w:r w:rsidR="00172AF6">
        <w:rPr>
          <w:rFonts w:eastAsiaTheme="minorEastAsia"/>
          <w:b/>
          <w:bCs/>
        </w:rPr>
        <w:t xml:space="preserve"> that helps to promote stability of the system (Fig. 1A)</w:t>
      </w:r>
      <w:r w:rsidR="00841617">
        <w:rPr>
          <w:rFonts w:eastAsiaTheme="minorEastAsia"/>
        </w:rPr>
        <w:t xml:space="preserve">. </w:t>
      </w:r>
      <w:r w:rsidR="00415533">
        <w:rPr>
          <w:rFonts w:eastAsiaTheme="minorEastAsia"/>
        </w:rPr>
        <w:t>Again, extensions of the model can consider this complexity.</w:t>
      </w:r>
      <w:r w:rsidR="00841617">
        <w:rPr>
          <w:rFonts w:eastAsiaTheme="minorEastAsia"/>
        </w:rPr>
        <w:t xml:space="preserve"> </w:t>
      </w:r>
    </w:p>
    <w:p w14:paraId="2E09A993" w14:textId="43BB49D7" w:rsidR="00415533" w:rsidRDefault="00415533" w:rsidP="004C4C65">
      <w:pPr>
        <w:rPr>
          <w:rFonts w:eastAsiaTheme="minorEastAsia"/>
        </w:rPr>
      </w:pPr>
    </w:p>
    <w:p w14:paraId="5F9E9F0E" w14:textId="31114734" w:rsidR="00841617" w:rsidRDefault="00415533" w:rsidP="004C4C65">
      <w:pPr>
        <w:rPr>
          <w:rFonts w:eastAsiaTheme="minorEastAsia"/>
        </w:rPr>
      </w:pPr>
      <w:r>
        <w:rPr>
          <w:rFonts w:eastAsiaTheme="minorEastAsia"/>
        </w:rPr>
        <w:t xml:space="preserve">The dynamics of the T helper response are determined by a baseline activation rate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which represents the exposure to non-focal antigens that can stimulate an immune response. The parasite simulates T helper responses at the rate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with a default assumption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 xml:space="preserve"> (the parasite stimulates Th2 more than Th1), but that parasite genotypes that are immunomodulatory have higher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 xml:space="preserve"> values than those that do not secrete immunomodulatory products. </w:t>
      </w:r>
      <w:r w:rsidR="00841617" w:rsidRPr="00026EBB">
        <w:rPr>
          <w:rFonts w:eastAsiaTheme="minorEastAsia"/>
          <w:b/>
          <w:bCs/>
        </w:rPr>
        <w:t>The effect of parasite biomass on Th2 proliferatio</w:t>
      </w:r>
      <w:r w:rsidR="00026EBB">
        <w:rPr>
          <w:rFonts w:eastAsiaTheme="minorEastAsia"/>
          <w:b/>
          <w:bCs/>
        </w:rPr>
        <w:t xml:space="preserve">n is </w:t>
      </w:r>
      <w:r w:rsidR="00172AF6">
        <w:rPr>
          <w:rFonts w:eastAsiaTheme="minorEastAsia"/>
          <w:b/>
          <w:bCs/>
        </w:rPr>
        <w:t xml:space="preserve">also </w:t>
      </w:r>
      <w:r w:rsidR="00026EBB">
        <w:rPr>
          <w:rFonts w:eastAsiaTheme="minorEastAsia"/>
          <w:b/>
          <w:bCs/>
        </w:rPr>
        <w:t xml:space="preserve">part of </w:t>
      </w:r>
      <w:r w:rsidR="00172AF6">
        <w:rPr>
          <w:rFonts w:eastAsiaTheme="minorEastAsia"/>
          <w:b/>
          <w:bCs/>
        </w:rPr>
        <w:t>a</w:t>
      </w:r>
      <w:r w:rsidR="00026EBB">
        <w:rPr>
          <w:rFonts w:eastAsiaTheme="minorEastAsia"/>
          <w:b/>
          <w:bCs/>
        </w:rPr>
        <w:t xml:space="preserve"> </w:t>
      </w:r>
      <w:r w:rsidR="00172AF6">
        <w:rPr>
          <w:rFonts w:eastAsiaTheme="minorEastAsia"/>
          <w:b/>
          <w:bCs/>
        </w:rPr>
        <w:t xml:space="preserve">stability-promoting </w:t>
      </w:r>
      <w:r w:rsidR="00026EBB">
        <w:rPr>
          <w:rFonts w:eastAsiaTheme="minorEastAsia"/>
          <w:b/>
          <w:bCs/>
        </w:rPr>
        <w:t>negative</w:t>
      </w:r>
      <w:r w:rsidR="00172AF6">
        <w:rPr>
          <w:rFonts w:eastAsiaTheme="minorEastAsia"/>
          <w:b/>
          <w:bCs/>
        </w:rPr>
        <w:t xml:space="preserve"> feedback loop, whereas the effect of parasites on Th1 proliferation is part of a tipping-point-promoting positive feedback loop. </w:t>
      </w:r>
      <w:r>
        <w:rPr>
          <w:rFonts w:eastAsiaTheme="minorEastAsia"/>
        </w:rPr>
        <w:t xml:space="preserve">The term </w:t>
      </w:r>
      <m:oMath>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s</m:t>
                    </m:r>
                  </m:sub>
                </m:sSub>
              </m:sup>
            </m:sSup>
          </m:num>
          <m:den>
            <m:sSubSup>
              <m:sSubSupPr>
                <m:ctrlPr>
                  <w:rPr>
                    <w:rFonts w:ascii="Cambria Math" w:hAnsi="Cambria Math"/>
                    <w:i/>
                  </w:rPr>
                </m:ctrlPr>
              </m:sSubSupPr>
              <m:e>
                <m:r>
                  <w:rPr>
                    <w:rFonts w:ascii="Cambria Math" w:hAnsi="Cambria Math"/>
                  </w:rPr>
                  <m:t>S</m:t>
                </m:r>
              </m:e>
              <m:sub>
                <m:r>
                  <w:rPr>
                    <w:rFonts w:ascii="Cambria Math" w:hAnsi="Cambria Math"/>
                  </w:rPr>
                  <m:t>i</m:t>
                </m:r>
              </m:sub>
              <m:sup>
                <m:sSub>
                  <m:sSubPr>
                    <m:ctrlPr>
                      <w:rPr>
                        <w:rFonts w:ascii="Cambria Math" w:hAnsi="Cambria Math"/>
                        <w:i/>
                      </w:rPr>
                    </m:ctrlPr>
                  </m:sSubPr>
                  <m:e>
                    <m:r>
                      <w:rPr>
                        <w:rFonts w:ascii="Cambria Math" w:hAnsi="Cambria Math"/>
                      </w:rPr>
                      <m:t>h</m:t>
                    </m:r>
                  </m:e>
                  <m:sub>
                    <m:r>
                      <w:rPr>
                        <w:rFonts w:ascii="Cambria Math" w:hAnsi="Cambria Math"/>
                      </w:rPr>
                      <m:t>s</m:t>
                    </m:r>
                  </m:sub>
                </m:sSub>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s</m:t>
                    </m:r>
                  </m:sub>
                </m:sSub>
              </m:sup>
            </m:sSup>
          </m:den>
        </m:f>
      </m:oMath>
      <w:r>
        <w:rPr>
          <w:rFonts w:eastAsiaTheme="minorEastAsia"/>
        </w:rPr>
        <w:t xml:space="preserve"> captures the self-stimulation of e.g., a Th1 response by Th1 cells</w:t>
      </w:r>
      <w:r w:rsidR="00841617">
        <w:rPr>
          <w:rFonts w:eastAsiaTheme="minorEastAsia"/>
        </w:rPr>
        <w:t xml:space="preserve">, whereas the term </w:t>
      </w:r>
      <m:oMath>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rPr>
                  <m:t>ij</m:t>
                </m:r>
              </m:sub>
              <m:sup>
                <m:sSub>
                  <m:sSubPr>
                    <m:ctrlPr>
                      <w:rPr>
                        <w:rFonts w:ascii="Cambria Math" w:hAnsi="Cambria Math"/>
                        <w:i/>
                      </w:rPr>
                    </m:ctrlPr>
                  </m:sSubPr>
                  <m:e>
                    <m:r>
                      <w:rPr>
                        <w:rFonts w:ascii="Cambria Math" w:hAnsi="Cambria Math"/>
                      </w:rPr>
                      <m:t>h</m:t>
                    </m:r>
                  </m:e>
                  <m:sub>
                    <m:r>
                      <w:rPr>
                        <w:rFonts w:ascii="Cambria Math" w:hAnsi="Cambria Math"/>
                      </w:rPr>
                      <m:t>c</m:t>
                    </m:r>
                  </m:sub>
                </m:sSub>
              </m:sup>
            </m:sSubSup>
          </m:num>
          <m:den>
            <m:sSubSup>
              <m:sSubSupPr>
                <m:ctrlPr>
                  <w:rPr>
                    <w:rFonts w:ascii="Cambria Math" w:hAnsi="Cambria Math"/>
                    <w:i/>
                  </w:rPr>
                </m:ctrlPr>
              </m:sSubSupPr>
              <m:e>
                <m:r>
                  <w:rPr>
                    <w:rFonts w:ascii="Cambria Math" w:hAnsi="Cambria Math"/>
                  </w:rPr>
                  <m:t>I</m:t>
                </m:r>
              </m:e>
              <m:sub>
                <m:r>
                  <w:rPr>
                    <w:rFonts w:ascii="Cambria Math" w:hAnsi="Cambria Math"/>
                  </w:rPr>
                  <m:t>ij</m:t>
                </m:r>
              </m:sub>
              <m:sup>
                <m:sSub>
                  <m:sSubPr>
                    <m:ctrlPr>
                      <w:rPr>
                        <w:rFonts w:ascii="Cambria Math" w:hAnsi="Cambria Math"/>
                        <w:i/>
                      </w:rPr>
                    </m:ctrlPr>
                  </m:sSubPr>
                  <m:e>
                    <m:r>
                      <w:rPr>
                        <w:rFonts w:ascii="Cambria Math" w:hAnsi="Cambria Math"/>
                      </w:rPr>
                      <m:t>h</m:t>
                    </m:r>
                  </m:e>
                  <m:sub>
                    <m:r>
                      <w:rPr>
                        <w:rFonts w:ascii="Cambria Math" w:hAnsi="Cambria Math"/>
                      </w:rPr>
                      <m:t>c</m:t>
                    </m:r>
                  </m:sub>
                </m:sSub>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c</m:t>
                    </m:r>
                  </m:sub>
                </m:sSub>
              </m:sup>
            </m:sSup>
          </m:den>
        </m:f>
        <m:r>
          <w:rPr>
            <w:rFonts w:ascii="Cambria Math" w:hAnsi="Cambria Math"/>
          </w:rPr>
          <m:t xml:space="preserve"> </m:t>
        </m:r>
      </m:oMath>
      <w:r w:rsidR="00841617">
        <w:rPr>
          <w:rFonts w:eastAsiaTheme="minorEastAsia"/>
        </w:rPr>
        <w:t xml:space="preserve"> captures the cross-inhibition of e.g., the Th2 response by Th1 cells. Both</w:t>
      </w:r>
      <w:r>
        <w:rPr>
          <w:rFonts w:eastAsiaTheme="minorEastAsia"/>
        </w:rPr>
        <w:t xml:space="preserve"> self-stimulation </w:t>
      </w:r>
      <w:r w:rsidR="00841617">
        <w:rPr>
          <w:rFonts w:eastAsiaTheme="minorEastAsia"/>
        </w:rPr>
        <w:t>and cross-inhibition are</w:t>
      </w:r>
      <w:r>
        <w:rPr>
          <w:rFonts w:eastAsiaTheme="minorEastAsia"/>
        </w:rPr>
        <w:t xml:space="preserve"> assumed to be captured by a Hill function</w:t>
      </w:r>
      <w:r w:rsidR="00B10303">
        <w:rPr>
          <w:rFonts w:eastAsiaTheme="minorEastAsia"/>
        </w:rPr>
        <w:t>, with the most likely exponent</w:t>
      </w:r>
      <w:r w:rsidR="00841617">
        <w:rPr>
          <w:rFonts w:eastAsiaTheme="minorEastAsia"/>
        </w:rPr>
        <w:t>s</w:t>
      </w:r>
      <w:r w:rsidR="00B10303">
        <w:rPr>
          <w:rFonts w:eastAsiaTheme="minorEastAsia"/>
        </w:rPr>
        <w:t xml:space="preserve"> being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r>
          <w:rPr>
            <w:rFonts w:ascii="Cambria Math" w:eastAsiaTheme="minorEastAsia" w:hAnsi="Cambria Math"/>
          </w:rPr>
          <m:t>=2</m:t>
        </m:r>
      </m:oMath>
      <w:r w:rsidR="0084161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r>
          <w:rPr>
            <w:rFonts w:ascii="Cambria Math" w:eastAsiaTheme="minorEastAsia" w:hAnsi="Cambria Math"/>
          </w:rPr>
          <m:t>=1</m:t>
        </m:r>
      </m:oMath>
      <w:r w:rsidR="00841617">
        <w:rPr>
          <w:rFonts w:eastAsiaTheme="minorEastAsia"/>
        </w:rPr>
        <w:t>.</w:t>
      </w:r>
      <w:r w:rsidR="00B120AA">
        <w:rPr>
          <w:rFonts w:eastAsiaTheme="minorEastAsia"/>
        </w:rPr>
        <w:t xml:space="preserve"> [Note: Ed’s work suggests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r>
          <w:rPr>
            <w:rFonts w:ascii="Cambria Math" w:eastAsiaTheme="minorEastAsia" w:hAnsi="Cambria Math"/>
          </w:rPr>
          <m:t>=1</m:t>
        </m:r>
      </m:oMath>
      <w:r w:rsidR="00B120A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r>
          <w:rPr>
            <w:rFonts w:ascii="Cambria Math" w:eastAsiaTheme="minorEastAsia" w:hAnsi="Cambria Math"/>
          </w:rPr>
          <m:t>=2</m:t>
        </m:r>
      </m:oMath>
      <w:r w:rsidR="00B120AA">
        <w:rPr>
          <w:rFonts w:eastAsiaTheme="minorEastAsia"/>
        </w:rPr>
        <w:t xml:space="preserve">, but </w:t>
      </w:r>
      <w:r w:rsidR="00841617">
        <w:rPr>
          <w:rFonts w:eastAsiaTheme="minorEastAsia"/>
        </w:rPr>
        <w:t xml:space="preserve">those parameters </w:t>
      </w:r>
      <w:r w:rsidR="00B120AA">
        <w:rPr>
          <w:rFonts w:eastAsiaTheme="minorEastAsia"/>
        </w:rPr>
        <w:t xml:space="preserve">do not produce </w:t>
      </w:r>
      <w:proofErr w:type="spellStart"/>
      <w:r w:rsidR="00B120AA">
        <w:rPr>
          <w:rFonts w:eastAsiaTheme="minorEastAsia"/>
        </w:rPr>
        <w:lastRenderedPageBreak/>
        <w:t>bistability</w:t>
      </w:r>
      <w:proofErr w:type="spellEnd"/>
      <w:r w:rsidR="00B10303">
        <w:rPr>
          <w:rFonts w:eastAsiaTheme="minorEastAsia"/>
        </w:rPr>
        <w:t>.</w:t>
      </w:r>
      <w:r w:rsidR="00841617">
        <w:rPr>
          <w:rFonts w:eastAsiaTheme="minorEastAsia"/>
        </w:rPr>
        <w:t xml:space="preserve"> I’m not sure what to make of that.] </w:t>
      </w:r>
      <w:r w:rsidR="00172AF6">
        <w:rPr>
          <w:rFonts w:eastAsiaTheme="minorEastAsia"/>
          <w:b/>
          <w:bCs/>
        </w:rPr>
        <w:t>Both of these</w:t>
      </w:r>
      <w:r w:rsidR="00841617">
        <w:rPr>
          <w:rFonts w:eastAsiaTheme="minorEastAsia"/>
          <w:b/>
          <w:bCs/>
        </w:rPr>
        <w:t xml:space="preserve"> terms </w:t>
      </w:r>
      <w:r w:rsidR="00172AF6">
        <w:rPr>
          <w:rFonts w:eastAsiaTheme="minorEastAsia"/>
          <w:b/>
          <w:bCs/>
        </w:rPr>
        <w:t>contribute to tipping-point-promoting positive feedback loops.</w:t>
      </w:r>
    </w:p>
    <w:p w14:paraId="75C678AD" w14:textId="5A108067" w:rsidR="00841617" w:rsidRDefault="00841617" w:rsidP="004C4C65">
      <w:pPr>
        <w:rPr>
          <w:rFonts w:eastAsiaTheme="minorEastAsia"/>
        </w:rPr>
      </w:pPr>
    </w:p>
    <w:p w14:paraId="461ADD7D" w14:textId="6CD12348" w:rsidR="00841617" w:rsidRDefault="00841617" w:rsidP="004C4C65">
      <w:pPr>
        <w:rPr>
          <w:rFonts w:eastAsiaTheme="minorEastAsia"/>
        </w:rPr>
      </w:pPr>
      <w:r>
        <w:rPr>
          <w:rFonts w:eastAsiaTheme="minorEastAsia"/>
        </w:rPr>
        <w:t xml:space="preserve">The relative strengths of the negative and positive feedback can be varied by changing the magnitude of </w:t>
      </w:r>
      <w:r w:rsidR="00172AF6">
        <w:rPr>
          <w:rFonts w:eastAsiaTheme="minorEastAsia"/>
        </w:rPr>
        <w:t xml:space="preserve">the parameters of the model – e.g., increasing the immune system’s attack rate </w:t>
      </w:r>
      <m:oMath>
        <m:r>
          <w:rPr>
            <w:rFonts w:ascii="Cambria Math" w:eastAsiaTheme="minorEastAsia" w:hAnsi="Cambria Math"/>
          </w:rPr>
          <m:t>a</m:t>
        </m:r>
      </m:oMath>
      <w:r w:rsidR="00172AF6">
        <w:rPr>
          <w:rFonts w:eastAsiaTheme="minorEastAsia"/>
        </w:rPr>
        <w:t xml:space="preserve"> strengthens a negative feedback loop, whereas increasing the immunomodulatory effect of parasites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172AF6">
        <w:rPr>
          <w:rFonts w:eastAsiaTheme="minorEastAsia"/>
        </w:rPr>
        <w:t xml:space="preserve"> strengthens a positive feedback loop.</w:t>
      </w:r>
    </w:p>
    <w:p w14:paraId="2E436F74" w14:textId="6C177700" w:rsidR="00172AF6" w:rsidRDefault="00172AF6" w:rsidP="004C4C65">
      <w:pPr>
        <w:rPr>
          <w:rFonts w:eastAsiaTheme="minorEastAsia"/>
        </w:rPr>
      </w:pPr>
    </w:p>
    <w:p w14:paraId="5B3D2E3D" w14:textId="02C6E060" w:rsidR="00172AF6" w:rsidRDefault="00036AB1" w:rsidP="004C4C65">
      <w:pPr>
        <w:rPr>
          <w:rFonts w:eastAsiaTheme="minorEastAsia"/>
        </w:rPr>
      </w:pPr>
      <w:r>
        <w:rPr>
          <w:rFonts w:eastAsiaTheme="minorEastAsia"/>
        </w:rPr>
        <w:t>Preliminary results:</w:t>
      </w:r>
    </w:p>
    <w:p w14:paraId="7FCB05A8" w14:textId="77777777" w:rsidR="007627D4" w:rsidRDefault="00036AB1" w:rsidP="004C4C65">
      <w:pPr>
        <w:rPr>
          <w:rFonts w:eastAsiaTheme="minorEastAsia"/>
        </w:rPr>
      </w:pPr>
      <w:r>
        <w:rPr>
          <w:rFonts w:eastAsiaTheme="minorEastAsia"/>
        </w:rPr>
        <w:t xml:space="preserve">Here is a case where </w:t>
      </w:r>
      <w:r w:rsidR="007627D4">
        <w:rPr>
          <w:rFonts w:eastAsiaTheme="minorEastAsia"/>
        </w:rPr>
        <w:t xml:space="preserve">all of the parameters are identical for Th1 and Th2 except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7627D4">
        <w:rPr>
          <w:rFonts w:eastAsiaTheme="minorEastAsia"/>
        </w:rPr>
        <w:t xml:space="preserve"> (the parasite stimulates a stronger Th2 response than Th1). For these parameters, there is a qualitative change in the dynamics as dose is increased: for low doses, the parasite achieves a chronic infection. This is because the parasite “flies under the radar” of the immune system: the immune system downregulates itself faster than the parasite stimulates it, thus allowing the parasite to persist. At high doses, though, the immune system is more strongly </w:t>
      </w:r>
      <w:proofErr w:type="gramStart"/>
      <w:r w:rsidR="007627D4">
        <w:rPr>
          <w:rFonts w:eastAsiaTheme="minorEastAsia"/>
        </w:rPr>
        <w:t>stimulated</w:t>
      </w:r>
      <w:proofErr w:type="gramEnd"/>
      <w:r w:rsidR="007627D4">
        <w:rPr>
          <w:rFonts w:eastAsiaTheme="minorEastAsia"/>
        </w:rPr>
        <w:t xml:space="preserve"> and the upregulation of immunity clears the infection.</w:t>
      </w:r>
    </w:p>
    <w:p w14:paraId="16A31695" w14:textId="77777777" w:rsidR="007627D4" w:rsidRDefault="007627D4" w:rsidP="004C4C65">
      <w:pPr>
        <w:rPr>
          <w:rFonts w:eastAsiaTheme="minorEastAsia"/>
        </w:rPr>
      </w:pPr>
    </w:p>
    <w:p w14:paraId="49858B0A" w14:textId="77777777" w:rsidR="007627D4" w:rsidRDefault="007627D4" w:rsidP="007627D4">
      <w:pPr>
        <w:keepNext/>
      </w:pPr>
      <w:r w:rsidRPr="007627D4">
        <w:rPr>
          <w:rFonts w:eastAsiaTheme="minorEastAsia"/>
          <w:noProof/>
        </w:rPr>
        <w:drawing>
          <wp:inline distT="0" distB="0" distL="0" distR="0" wp14:anchorId="064D147F" wp14:editId="09A7863A">
            <wp:extent cx="5943600" cy="3893185"/>
            <wp:effectExtent l="0" t="0" r="0" b="5715"/>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
                    <a:stretch>
                      <a:fillRect/>
                    </a:stretch>
                  </pic:blipFill>
                  <pic:spPr>
                    <a:xfrm>
                      <a:off x="0" y="0"/>
                      <a:ext cx="5943600" cy="3893185"/>
                    </a:xfrm>
                    <a:prstGeom prst="rect">
                      <a:avLst/>
                    </a:prstGeom>
                  </pic:spPr>
                </pic:pic>
              </a:graphicData>
            </a:graphic>
          </wp:inline>
        </w:drawing>
      </w:r>
    </w:p>
    <w:p w14:paraId="2333CEBC" w14:textId="1F16D29C" w:rsidR="007627D4" w:rsidRDefault="007627D4" w:rsidP="007627D4">
      <w:pPr>
        <w:pStyle w:val="Caption"/>
      </w:pPr>
      <w:r>
        <w:t xml:space="preserve">Figure </w:t>
      </w:r>
      <w:r w:rsidR="004F6DFD">
        <w:fldChar w:fldCharType="begin"/>
      </w:r>
      <w:r w:rsidR="004F6DFD">
        <w:instrText xml:space="preserve"> SEQ Figure \* ARABIC </w:instrText>
      </w:r>
      <w:r w:rsidR="004F6DFD">
        <w:fldChar w:fldCharType="separate"/>
      </w:r>
      <w:r w:rsidR="004777E0">
        <w:rPr>
          <w:noProof/>
        </w:rPr>
        <w:t>1</w:t>
      </w:r>
      <w:r w:rsidR="004F6DFD">
        <w:rPr>
          <w:noProof/>
        </w:rPr>
        <w:fldChar w:fldCharType="end"/>
      </w:r>
      <w:r>
        <w:t xml:space="preserve"> Parasite dynamics from different starting doses and an initially stimulated immune response.</w:t>
      </w:r>
    </w:p>
    <w:p w14:paraId="72177F46" w14:textId="77777777" w:rsidR="007627D4" w:rsidRDefault="007627D4" w:rsidP="007627D4">
      <w:pPr>
        <w:keepNext/>
      </w:pPr>
      <w:r>
        <w:rPr>
          <w:rFonts w:eastAsiaTheme="minorEastAsia"/>
        </w:rPr>
        <w:lastRenderedPageBreak/>
        <w:t xml:space="preserve"> </w:t>
      </w:r>
      <w:r w:rsidRPr="007627D4">
        <w:rPr>
          <w:rFonts w:eastAsiaTheme="minorEastAsia"/>
          <w:noProof/>
        </w:rPr>
        <w:drawing>
          <wp:inline distT="0" distB="0" distL="0" distR="0" wp14:anchorId="0A251949" wp14:editId="3D16CFD8">
            <wp:extent cx="5943600" cy="3893185"/>
            <wp:effectExtent l="0" t="0" r="0" b="5715"/>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7"/>
                    <a:stretch>
                      <a:fillRect/>
                    </a:stretch>
                  </pic:blipFill>
                  <pic:spPr>
                    <a:xfrm>
                      <a:off x="0" y="0"/>
                      <a:ext cx="5943600" cy="3893185"/>
                    </a:xfrm>
                    <a:prstGeom prst="rect">
                      <a:avLst/>
                    </a:prstGeom>
                  </pic:spPr>
                </pic:pic>
              </a:graphicData>
            </a:graphic>
          </wp:inline>
        </w:drawing>
      </w:r>
    </w:p>
    <w:p w14:paraId="59AB883F" w14:textId="1E09BFEE" w:rsidR="007627D4" w:rsidRDefault="007627D4" w:rsidP="007627D4">
      <w:pPr>
        <w:pStyle w:val="Caption"/>
        <w:rPr>
          <w:rFonts w:eastAsiaTheme="minorEastAsia"/>
        </w:rPr>
      </w:pPr>
      <w:r>
        <w:t xml:space="preserve">Figure </w:t>
      </w:r>
      <w:r w:rsidR="004F6DFD">
        <w:fldChar w:fldCharType="begin"/>
      </w:r>
      <w:r w:rsidR="004F6DFD">
        <w:instrText xml:space="preserve"> SEQ Figure \* ARABIC </w:instrText>
      </w:r>
      <w:r w:rsidR="004F6DFD">
        <w:fldChar w:fldCharType="separate"/>
      </w:r>
      <w:r w:rsidR="004777E0">
        <w:rPr>
          <w:noProof/>
        </w:rPr>
        <w:t>2</w:t>
      </w:r>
      <w:r w:rsidR="004F6DFD">
        <w:rPr>
          <w:noProof/>
        </w:rPr>
        <w:fldChar w:fldCharType="end"/>
      </w:r>
      <w:r>
        <w:t xml:space="preserve"> Th2 dynamics as dose increases when the immune starts out stimulated.</w:t>
      </w:r>
    </w:p>
    <w:p w14:paraId="4863EC6D" w14:textId="77777777" w:rsidR="007627D4" w:rsidRDefault="007627D4" w:rsidP="004C4C65">
      <w:pPr>
        <w:rPr>
          <w:rFonts w:eastAsiaTheme="minorEastAsia"/>
        </w:rPr>
      </w:pPr>
    </w:p>
    <w:p w14:paraId="2BD80D14" w14:textId="720F052C" w:rsidR="00036AB1" w:rsidRDefault="007627D4" w:rsidP="004C4C65">
      <w:pPr>
        <w:rPr>
          <w:rFonts w:eastAsiaTheme="minorEastAsia"/>
        </w:rPr>
      </w:pPr>
      <w:r>
        <w:rPr>
          <w:rFonts w:eastAsiaTheme="minorEastAsia"/>
        </w:rPr>
        <w:t>Of course, in this case the immune response is already stimulated to a fairly high level, which would not necessarily be what we would expect in the laboratory. If we assume that the state of the immune system is closer to naïve, then only a</w:t>
      </w:r>
      <w:r w:rsidR="004777E0">
        <w:rPr>
          <w:rFonts w:eastAsiaTheme="minorEastAsia"/>
        </w:rPr>
        <w:t xml:space="preserve">n acute </w:t>
      </w:r>
      <w:r>
        <w:rPr>
          <w:rFonts w:eastAsiaTheme="minorEastAsia"/>
        </w:rPr>
        <w:t xml:space="preserve">infection is possible. </w:t>
      </w:r>
    </w:p>
    <w:p w14:paraId="4546636B" w14:textId="694D3D75" w:rsidR="004777E0" w:rsidRDefault="004777E0" w:rsidP="004C4C65">
      <w:pPr>
        <w:rPr>
          <w:rFonts w:eastAsiaTheme="minorEastAsia"/>
        </w:rPr>
      </w:pPr>
    </w:p>
    <w:p w14:paraId="5B43312F" w14:textId="77777777" w:rsidR="004777E0" w:rsidRDefault="004777E0" w:rsidP="004777E0">
      <w:pPr>
        <w:keepNext/>
      </w:pPr>
      <w:r w:rsidRPr="004777E0">
        <w:rPr>
          <w:rFonts w:eastAsiaTheme="minorEastAsia"/>
          <w:noProof/>
        </w:rPr>
        <w:lastRenderedPageBreak/>
        <w:drawing>
          <wp:inline distT="0" distB="0" distL="0" distR="0" wp14:anchorId="444E8564" wp14:editId="75F814FC">
            <wp:extent cx="5943600" cy="3893185"/>
            <wp:effectExtent l="0" t="0" r="0" b="5715"/>
            <wp:docPr id="4" name="Picture 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 histogram&#10;&#10;Description automatically generated"/>
                    <pic:cNvPicPr/>
                  </pic:nvPicPr>
                  <pic:blipFill>
                    <a:blip r:embed="rId8"/>
                    <a:stretch>
                      <a:fillRect/>
                    </a:stretch>
                  </pic:blipFill>
                  <pic:spPr>
                    <a:xfrm>
                      <a:off x="0" y="0"/>
                      <a:ext cx="5943600" cy="3893185"/>
                    </a:xfrm>
                    <a:prstGeom prst="rect">
                      <a:avLst/>
                    </a:prstGeom>
                  </pic:spPr>
                </pic:pic>
              </a:graphicData>
            </a:graphic>
          </wp:inline>
        </w:drawing>
      </w:r>
    </w:p>
    <w:p w14:paraId="223CEDC8" w14:textId="1046B9CD" w:rsidR="007627D4" w:rsidRDefault="004777E0" w:rsidP="004777E0">
      <w:pPr>
        <w:pStyle w:val="Caption"/>
      </w:pPr>
      <w:r>
        <w:t xml:space="preserve">Figure </w:t>
      </w:r>
      <w:r w:rsidR="004F6DFD">
        <w:fldChar w:fldCharType="begin"/>
      </w:r>
      <w:r w:rsidR="004F6DFD">
        <w:instrText xml:space="preserve"> SEQ Figure \* ARABIC </w:instrText>
      </w:r>
      <w:r w:rsidR="004F6DFD">
        <w:fldChar w:fldCharType="separate"/>
      </w:r>
      <w:r>
        <w:rPr>
          <w:noProof/>
        </w:rPr>
        <w:t>3</w:t>
      </w:r>
      <w:r w:rsidR="004F6DFD">
        <w:rPr>
          <w:noProof/>
        </w:rPr>
        <w:fldChar w:fldCharType="end"/>
      </w:r>
      <w:r>
        <w:t xml:space="preserve"> Parasite dynamics when the immune system starts naive.</w:t>
      </w:r>
    </w:p>
    <w:p w14:paraId="0452AE4A" w14:textId="72F504ED" w:rsidR="004777E0" w:rsidRDefault="004777E0" w:rsidP="004777E0"/>
    <w:p w14:paraId="3CCAF335" w14:textId="3E0EE299" w:rsidR="004777E0" w:rsidRDefault="004777E0" w:rsidP="004777E0">
      <w:r>
        <w:t xml:space="preserve">What happens in the natural environment, where the immune system may start with a bias towards a Th1 response? Here the parameters are identical to the above, except we start with more Th1 than Th2 cells. You can see that </w:t>
      </w:r>
      <w:proofErr w:type="gramStart"/>
      <w:r>
        <w:t>now,</w:t>
      </w:r>
      <w:proofErr w:type="gramEnd"/>
      <w:r>
        <w:t xml:space="preserve"> only chronic infections result.</w:t>
      </w:r>
    </w:p>
    <w:p w14:paraId="5C17CDF0" w14:textId="3507DACE" w:rsidR="004777E0" w:rsidRDefault="004777E0" w:rsidP="004777E0">
      <w:r w:rsidRPr="004777E0">
        <w:rPr>
          <w:noProof/>
        </w:rPr>
        <w:lastRenderedPageBreak/>
        <w:drawing>
          <wp:inline distT="0" distB="0" distL="0" distR="0" wp14:anchorId="0961DE8A" wp14:editId="61083728">
            <wp:extent cx="5943600" cy="3893185"/>
            <wp:effectExtent l="0" t="0" r="0" b="5715"/>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9"/>
                    <a:stretch>
                      <a:fillRect/>
                    </a:stretch>
                  </pic:blipFill>
                  <pic:spPr>
                    <a:xfrm>
                      <a:off x="0" y="0"/>
                      <a:ext cx="5943600" cy="3893185"/>
                    </a:xfrm>
                    <a:prstGeom prst="rect">
                      <a:avLst/>
                    </a:prstGeom>
                  </pic:spPr>
                </pic:pic>
              </a:graphicData>
            </a:graphic>
          </wp:inline>
        </w:drawing>
      </w:r>
    </w:p>
    <w:p w14:paraId="5BE89446" w14:textId="048D1DBF" w:rsidR="004777E0" w:rsidRDefault="004777E0" w:rsidP="004777E0"/>
    <w:p w14:paraId="34BAD379" w14:textId="77777777" w:rsidR="004777E0" w:rsidRPr="004777E0" w:rsidRDefault="004777E0" w:rsidP="004777E0"/>
    <w:p w14:paraId="7AE7AF31" w14:textId="083CF2CE" w:rsidR="00841617" w:rsidRDefault="004777E0" w:rsidP="004C4C65">
      <w:pPr>
        <w:rPr>
          <w:rFonts w:eastAsiaTheme="minorEastAsia"/>
        </w:rPr>
      </w:pPr>
      <w:r>
        <w:rPr>
          <w:rFonts w:eastAsiaTheme="minorEastAsia"/>
        </w:rPr>
        <w:t xml:space="preserve">The point here is that variation in the initial immune state or initial parasite state can generate qualitatively different </w:t>
      </w:r>
      <w:r w:rsidR="004D167E">
        <w:rPr>
          <w:rFonts w:eastAsiaTheme="minorEastAsia"/>
        </w:rPr>
        <w:t xml:space="preserve">infection outcomes. </w:t>
      </w:r>
    </w:p>
    <w:p w14:paraId="030C83FE" w14:textId="4CB2ACAA" w:rsidR="00415533" w:rsidRDefault="00B10303" w:rsidP="004C4C65">
      <w:pPr>
        <w:rPr>
          <w:rFonts w:eastAsiaTheme="minorEastAsia"/>
        </w:rPr>
      </w:pPr>
      <w:r>
        <w:rPr>
          <w:rFonts w:eastAsiaTheme="minorEastAsia"/>
        </w:rPr>
        <w:t xml:space="preserve"> </w:t>
      </w:r>
    </w:p>
    <w:p w14:paraId="1C2003D8" w14:textId="77777777" w:rsidR="004D167E" w:rsidRDefault="004D167E" w:rsidP="004D167E">
      <w:r>
        <w:t>Questions for Andrea:</w:t>
      </w:r>
    </w:p>
    <w:p w14:paraId="13404007" w14:textId="77777777" w:rsidR="004D167E" w:rsidRDefault="004D167E" w:rsidP="004D167E">
      <w:pPr>
        <w:pStyle w:val="ListParagraph"/>
        <w:numPr>
          <w:ilvl w:val="0"/>
          <w:numId w:val="1"/>
        </w:numPr>
      </w:pPr>
      <w:r>
        <w:t>Which parameters of the simple mathematical model are most likely to be affected by the different host and parasite genotypes we are considering, and by the exposure to natural microbes?</w:t>
      </w:r>
    </w:p>
    <w:p w14:paraId="22E4F5C1" w14:textId="77777777" w:rsidR="004D167E" w:rsidRPr="00415533" w:rsidRDefault="004D167E" w:rsidP="004D167E">
      <w:pPr>
        <w:pStyle w:val="ListParagraph"/>
        <w:numPr>
          <w:ilvl w:val="1"/>
          <w:numId w:val="1"/>
        </w:numPr>
      </w:pPr>
      <w:r>
        <w:t xml:space="preserve">I am assuming that parasite genotypes that vary in their ability to manipulate the host response have different values for the Th1 stimulation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w:t>
      </w:r>
    </w:p>
    <w:p w14:paraId="44B4C335" w14:textId="65B196C7" w:rsidR="004D167E" w:rsidRPr="004D167E" w:rsidRDefault="004D167E" w:rsidP="004D167E">
      <w:pPr>
        <w:pStyle w:val="ListParagraph"/>
        <w:numPr>
          <w:ilvl w:val="1"/>
          <w:numId w:val="1"/>
        </w:numPr>
      </w:pPr>
      <w:r>
        <w:t xml:space="preserve">I am assuming that exposure to natural microbes changes the baseline immune stimulation parameter,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(with a basis towards increasing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Pr>
          <w:rFonts w:eastAsiaTheme="minorEastAsia"/>
        </w:rPr>
        <w:t xml:space="preserve">, such that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1,SF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1,Lab</m:t>
            </m:r>
          </m:sub>
        </m:sSub>
      </m:oMath>
      <w:r>
        <w:rPr>
          <w:rFonts w:eastAsiaTheme="minorEastAsia"/>
        </w:rPr>
        <w:t xml:space="preserve"> – the baseline induction of Th1 is much higher at Stony Ford than it is in the lab)</w:t>
      </w:r>
    </w:p>
    <w:p w14:paraId="68F237EB" w14:textId="0F9CFECB" w:rsidR="004D167E" w:rsidRDefault="004D167E" w:rsidP="004D167E">
      <w:pPr>
        <w:pStyle w:val="ListParagraph"/>
        <w:numPr>
          <w:ilvl w:val="0"/>
          <w:numId w:val="1"/>
        </w:numPr>
      </w:pPr>
      <w:r>
        <w:t>What additional explorations do you think make the most sense?</w:t>
      </w:r>
    </w:p>
    <w:p w14:paraId="7D96C567" w14:textId="77777777" w:rsidR="004D167E" w:rsidRPr="001C05ED" w:rsidRDefault="004D167E" w:rsidP="004C4C65"/>
    <w:sectPr w:rsidR="004D167E" w:rsidRPr="001C05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3195B"/>
    <w:multiLevelType w:val="hybridMultilevel"/>
    <w:tmpl w:val="812A9172"/>
    <w:lvl w:ilvl="0" w:tplc="A4B41E0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C65"/>
    <w:rsid w:val="00024C41"/>
    <w:rsid w:val="00026EBB"/>
    <w:rsid w:val="00036AB1"/>
    <w:rsid w:val="00172AF6"/>
    <w:rsid w:val="001C05ED"/>
    <w:rsid w:val="001C256B"/>
    <w:rsid w:val="00415533"/>
    <w:rsid w:val="004777E0"/>
    <w:rsid w:val="004C4C65"/>
    <w:rsid w:val="004D167E"/>
    <w:rsid w:val="004F6DFD"/>
    <w:rsid w:val="006366A9"/>
    <w:rsid w:val="006D5E17"/>
    <w:rsid w:val="00707F24"/>
    <w:rsid w:val="007627D4"/>
    <w:rsid w:val="00841617"/>
    <w:rsid w:val="00B10303"/>
    <w:rsid w:val="00B120AA"/>
    <w:rsid w:val="00BD087F"/>
    <w:rsid w:val="00D52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A24C12"/>
  <w15:chartTrackingRefBased/>
  <w15:docId w15:val="{A9C297E8-3784-DA42-ADC7-6E1F81698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4C65"/>
    <w:pPr>
      <w:ind w:left="720"/>
      <w:contextualSpacing/>
    </w:pPr>
  </w:style>
  <w:style w:type="character" w:styleId="PlaceholderText">
    <w:name w:val="Placeholder Text"/>
    <w:basedOn w:val="DefaultParagraphFont"/>
    <w:uiPriority w:val="99"/>
    <w:semiHidden/>
    <w:rsid w:val="004C4C65"/>
    <w:rPr>
      <w:color w:val="808080"/>
    </w:rPr>
  </w:style>
  <w:style w:type="paragraph" w:styleId="Caption">
    <w:name w:val="caption"/>
    <w:basedOn w:val="Normal"/>
    <w:next w:val="Normal"/>
    <w:uiPriority w:val="35"/>
    <w:unhideWhenUsed/>
    <w:qFormat/>
    <w:rsid w:val="007627D4"/>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4F6DF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6DF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6</Pages>
  <Words>1315</Words>
  <Characters>7497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 Cressler</dc:creator>
  <cp:keywords/>
  <dc:description/>
  <cp:lastModifiedBy>Clay Cressler</cp:lastModifiedBy>
  <cp:revision>8</cp:revision>
  <cp:lastPrinted>2020-10-01T21:29:00Z</cp:lastPrinted>
  <dcterms:created xsi:type="dcterms:W3CDTF">2020-10-01T19:56:00Z</dcterms:created>
  <dcterms:modified xsi:type="dcterms:W3CDTF">2020-10-13T16:41:00Z</dcterms:modified>
</cp:coreProperties>
</file>